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3"/>
        <w:keepNext/>
        <w:keepLines/>
        <w:widowControl w:val="0"/>
        <w:wordWrap/>
        <w:adjustRightInd/>
        <w:snapToGrid/>
        <w:spacing w:before="0" w:after="0" w:line="700" w:lineRule="exact"/>
        <w:ind w:firstLine="0" w:firstLineChars="0"/>
        <w:jc w:val="center"/>
        <w:textAlignment w:val="auto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博爱县</w:t>
      </w:r>
      <w:bookmarkStart w:id="0" w:name="_Toc5764"/>
      <w:bookmarkStart w:id="1" w:name="_Toc13128"/>
      <w:bookmarkStart w:id="2" w:name="_Toc13155"/>
      <w:r>
        <w:rPr>
          <w:rFonts w:hint="default"/>
          <w:sz w:val="44"/>
          <w:szCs w:val="44"/>
        </w:rPr>
        <w:t>声环境功能区划分</w:t>
      </w:r>
      <w:bookmarkEnd w:id="0"/>
      <w:bookmarkEnd w:id="1"/>
      <w:bookmarkEnd w:id="2"/>
      <w:r>
        <w:rPr>
          <w:rFonts w:hint="eastAsia"/>
          <w:sz w:val="44"/>
          <w:szCs w:val="44"/>
          <w:lang w:eastAsia="zh-CN"/>
        </w:rPr>
        <w:t>方案</w:t>
      </w:r>
    </w:p>
    <w:p>
      <w:pPr>
        <w:pStyle w:val="2"/>
        <w:rPr>
          <w:rFonts w:hint="eastAsia" w:cs="Times New Roman"/>
          <w:b/>
          <w:bCs/>
          <w:color w:val="auto"/>
          <w:sz w:val="36"/>
          <w:szCs w:val="36"/>
          <w:lang w:eastAsia="zh-CN"/>
        </w:rPr>
      </w:pPr>
      <w:bookmarkStart w:id="17" w:name="_GoBack"/>
      <w:bookmarkEnd w:id="17"/>
    </w:p>
    <w:p>
      <w:pPr>
        <w:pStyle w:val="4"/>
        <w:wordWrap/>
        <w:adjustRightInd/>
        <w:snapToGrid/>
        <w:spacing w:before="0" w:after="0" w:line="560" w:lineRule="exact"/>
        <w:ind w:left="0" w:right="0"/>
        <w:textAlignment w:val="auto"/>
        <w:rPr>
          <w:rFonts w:hint="eastAsia" w:ascii="仿宋" w:hAnsi="仿宋" w:eastAsia="仿宋" w:cs="仿宋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3" w:name="_Toc5080"/>
      <w:bookmarkStart w:id="4" w:name="_Toc25011"/>
      <w:bookmarkStart w:id="5" w:name="_Toc5805"/>
      <w:r>
        <w:rPr>
          <w:rFonts w:hint="eastAsia" w:ascii="仿宋" w:hAnsi="仿宋" w:eastAsia="仿宋" w:cs="仿宋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  <w:t>为进一步规范环境噪声管理，促进经济社会高质量发展，依据《中华人民共和国噪声污染防治法》有关规定，参照《声环境功能区划分技术规范》（GB/T15190—2014），结合我县城市建设现状和未来发展规划，特制定本方案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default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</w:rPr>
        <w:t>一、总则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</w:rPr>
        <w:t>1.声环境功能区划分的指导思想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color w:val="auto"/>
          <w:kern w:val="2"/>
          <w:sz w:val="32"/>
          <w:szCs w:val="32"/>
          <w:highlight w:val="none"/>
          <w:lang w:val="en-US" w:eastAsia="zh-CN" w:bidi="ar-SA"/>
        </w:rPr>
        <w:t>以习近平生态文明思想为指导，贯彻《中华人民共和国环境保护法》和《中华人民共和国噪声污染防治法》，执行《声环境质量标准》（GB3096—2008）、《社会生活环境噪声排放标准》（GB22337—2008）和《工业企业厂界环境噪声排放标准》（GB12348—2008），依据《声环境功能区划分技术规范》（GB/T15190—2014），科学划定声环境功能区，为我县加强城市环境噪声管理提供依据，促进声环境质量进一步改善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</w:rPr>
        <w:t>2.声环境功能区划分的基本原则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（1）逐步提高声环境质量的原则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（2）规划与现状相结合的原则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（3）便于管理、促进治理的原则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（4）保护环境与客观性相统一的原则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（5）主观性与客观性相统一的原则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（6）宏观控制，宜粗不宜细的原则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（7）适当考虑中心城区未来发展格局的原则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</w:rPr>
        <w:t>3.声环境功能区划分的依据</w:t>
      </w:r>
    </w:p>
    <w:p>
      <w:pPr>
        <w:pStyle w:val="6"/>
        <w:numPr>
          <w:ilvl w:val="2"/>
          <w:numId w:val="0"/>
        </w:numPr>
        <w:wordWrap/>
        <w:adjustRightInd/>
        <w:snapToGrid/>
        <w:spacing w:before="0" w:after="0" w:line="560" w:lineRule="exact"/>
        <w:ind w:left="0" w:leftChars="0" w:right="0"/>
        <w:textAlignment w:val="auto"/>
        <w:rPr>
          <w:rFonts w:hint="eastAsia" w:ascii="楷体" w:hAnsi="楷体" w:eastAsia="楷体" w:cs="楷体"/>
          <w:b w:val="0"/>
          <w:bCs/>
          <w:color w:val="auto"/>
          <w:sz w:val="32"/>
          <w:szCs w:val="32"/>
        </w:rPr>
      </w:pPr>
      <w:bookmarkStart w:id="6" w:name="_Toc19973"/>
      <w:bookmarkStart w:id="7" w:name="_Toc6367"/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3.1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</w:rPr>
        <w:t>法律法规</w:t>
      </w:r>
      <w:bookmarkEnd w:id="6"/>
      <w:bookmarkEnd w:id="7"/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（1）《中华人民共和国环境保护法》，2014年4月24日修订；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（2）《中华人民共和国环境噪声污染防治法》，2018年12月29日修订；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（3）《建设项目环境保护管理条例（修订）》，国务院第682号令，2017年10月1日；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（4）《国务院关于落实科学发展观、加强环境保护的决定》，国发[2005]35号，2005年12月3日；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（5）关于发布《地面交通噪声污染防治技术政策》的通知，环发[2010]7号，2010年1月11日。</w:t>
      </w:r>
    </w:p>
    <w:p>
      <w:pPr>
        <w:pStyle w:val="6"/>
        <w:numPr>
          <w:ilvl w:val="2"/>
          <w:numId w:val="0"/>
        </w:numPr>
        <w:wordWrap/>
        <w:adjustRightInd/>
        <w:snapToGrid/>
        <w:spacing w:before="0" w:after="0" w:line="560" w:lineRule="exact"/>
        <w:ind w:left="0" w:leftChars="0" w:right="0"/>
        <w:textAlignment w:val="auto"/>
        <w:rPr>
          <w:rFonts w:hint="eastAsia" w:ascii="楷体" w:hAnsi="楷体" w:eastAsia="楷体" w:cs="楷体"/>
          <w:b w:val="0"/>
          <w:bCs/>
          <w:color w:val="auto"/>
          <w:sz w:val="32"/>
          <w:szCs w:val="32"/>
        </w:rPr>
      </w:pPr>
      <w:bookmarkStart w:id="8" w:name="_Toc32631"/>
      <w:bookmarkStart w:id="9" w:name="_Toc8179"/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3.2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</w:rPr>
        <w:t>规范标准</w:t>
      </w:r>
      <w:bookmarkEnd w:id="8"/>
      <w:bookmarkEnd w:id="9"/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（1）《声环境质量标准》（GB3096-2008）；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（2）《声环境功能区划分技术规范》（GB/T15190-2014）；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（3）《城市用地分类与规划建设用地标准》（GB50137-2011）；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（4）《环境噪声监测技术规范-城市声环境常规监测》（HJ640-2012）；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（5）《环境噪声监测技术规范-噪声测量值修正》（HJ706-2014）；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（6）《声学、机动车定置噪声测量方法》（GB/T14365-93）；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（7）《铁路边界噪声限值及其测量方法》（GB/T12525-90）；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（8）《声校准器》（GB/T15173）；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（9）《积分平均声级计》（GB/T17181）。</w:t>
      </w:r>
    </w:p>
    <w:p>
      <w:pPr>
        <w:pStyle w:val="6"/>
        <w:numPr>
          <w:ilvl w:val="2"/>
          <w:numId w:val="0"/>
        </w:numPr>
        <w:wordWrap/>
        <w:adjustRightInd/>
        <w:snapToGrid/>
        <w:spacing w:before="0" w:after="0" w:line="560" w:lineRule="exact"/>
        <w:ind w:left="0" w:leftChars="0" w:right="0"/>
        <w:textAlignment w:val="auto"/>
        <w:rPr>
          <w:rFonts w:hint="eastAsia" w:ascii="楷体" w:hAnsi="楷体" w:eastAsia="楷体" w:cs="楷体"/>
          <w:b w:val="0"/>
          <w:bCs/>
          <w:color w:val="auto"/>
          <w:sz w:val="32"/>
          <w:szCs w:val="32"/>
        </w:rPr>
      </w:pPr>
      <w:bookmarkStart w:id="10" w:name="_Toc4111"/>
      <w:bookmarkStart w:id="11" w:name="_Toc2912"/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3.3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</w:rPr>
        <w:t>其他依据</w:t>
      </w:r>
      <w:bookmarkEnd w:id="10"/>
      <w:bookmarkEnd w:id="11"/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（1）《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城乡总体规划（201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-203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年）》；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（2）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行政区划图；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（3）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交通道路现状；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（4）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土地利用现状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</w:rPr>
        <w:t>二、声环境功能区解释及相应适用标准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</w:rPr>
        <w:t>1.各类声环境功能区解释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依据《声环境功能区划分技术规范》（GB/T15190—2014），各类声环境功能区定义为：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0类声环境功能区：指康复疗养区等特别需要安静的区域，本次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未划定0类区。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1类声环境功能区：指以居民住宅、医疗卫生、文化教育、科研设计、行政办公为主要功能，需要保持安静的区域。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2类声环境功能区：指以商业金融、集市贸易为主要功能，或者居住、商业、工业混杂，需要维护住宅安静的区域。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3类声环境功能区：指以工业生产、仓储物流为主要功能，需要防止工业噪声对周围环境产生严重影响的区域。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4类声环境功能区：指交通干线两侧一定距离内，需要防止交通噪声对周围环境产生严重影响的区域，包括4a类和4b类两种类型。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4a类为高速公路、一级公路、二级公路、城市快速路、城市主干道、城市次干道、城市轻轨道交通（地面段）、内河航道两侧区域；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4b类为铁路干线两侧区域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Times New Roman" w:hAnsi="Times New Roman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highlight w:val="none"/>
        </w:rPr>
        <w:t>2.声环境功能区适用标准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《声环境质量标准》（GB3096—2008）对各类声环境功能区内的环境噪声水平规定了标准限值，如下表。</w:t>
      </w:r>
    </w:p>
    <w:p>
      <w:pPr>
        <w:wordWrap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声环境质量标准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 xml:space="preserve">            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 xml:space="preserve">  单位：dB（A）</w:t>
      </w:r>
    </w:p>
    <w:tbl>
      <w:tblPr>
        <w:tblW w:w="85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1"/>
        <w:gridCol w:w="1823"/>
        <w:gridCol w:w="2674"/>
        <w:gridCol w:w="2674"/>
      </w:tblGrid>
      <w:tr>
        <w:trPr>
          <w:trHeight w:val="454" w:hRule="atLeast"/>
        </w:trPr>
        <w:tc>
          <w:tcPr>
            <w:tcW w:w="3174" w:type="dxa"/>
            <w:gridSpan w:val="2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lang w:val="en-US" w:eastAsia="zh-CN"/>
              </w:rPr>
            </w:pPr>
            <w:bookmarkStart w:id="12" w:name="_Hlk111137128"/>
            <w:r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lang w:val="en-US" w:eastAsia="zh-CN"/>
              </w:rPr>
              <w:t>声环境功能区类别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lang w:val="en-US" w:eastAsia="zh-CN"/>
              </w:rPr>
              <w:t>昼间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32"/>
                <w:szCs w:val="32"/>
                <w:lang w:val="en-US" w:eastAsia="zh-CN"/>
              </w:rPr>
              <w:t>夜间</w:t>
            </w:r>
          </w:p>
        </w:tc>
      </w:tr>
      <w:tr>
        <w:trPr>
          <w:trHeight w:val="454" w:hRule="atLeast"/>
        </w:trPr>
        <w:tc>
          <w:tcPr>
            <w:tcW w:w="3174" w:type="dxa"/>
            <w:gridSpan w:val="2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0类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50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40</w:t>
            </w:r>
          </w:p>
        </w:tc>
      </w:tr>
      <w:tr>
        <w:trPr>
          <w:trHeight w:val="454" w:hRule="atLeast"/>
        </w:trPr>
        <w:tc>
          <w:tcPr>
            <w:tcW w:w="3174" w:type="dxa"/>
            <w:gridSpan w:val="2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1类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55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45</w:t>
            </w:r>
          </w:p>
        </w:tc>
      </w:tr>
      <w:tr>
        <w:trPr>
          <w:trHeight w:val="454" w:hRule="atLeast"/>
        </w:trPr>
        <w:tc>
          <w:tcPr>
            <w:tcW w:w="3174" w:type="dxa"/>
            <w:gridSpan w:val="2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2类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60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50</w:t>
            </w:r>
          </w:p>
        </w:tc>
      </w:tr>
      <w:tr>
        <w:trPr>
          <w:trHeight w:val="454" w:hRule="atLeast"/>
        </w:trPr>
        <w:tc>
          <w:tcPr>
            <w:tcW w:w="3174" w:type="dxa"/>
            <w:gridSpan w:val="2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3类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65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55</w:t>
            </w:r>
          </w:p>
        </w:tc>
      </w:tr>
      <w:tr>
        <w:trPr>
          <w:trHeight w:val="454" w:hRule="atLeast"/>
        </w:trPr>
        <w:tc>
          <w:tcPr>
            <w:tcW w:w="1351" w:type="dxa"/>
            <w:vMerge w:val="restart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4类</w:t>
            </w:r>
          </w:p>
        </w:tc>
        <w:tc>
          <w:tcPr>
            <w:tcW w:w="1823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4a类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70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55</w:t>
            </w:r>
          </w:p>
        </w:tc>
      </w:tr>
      <w:tr>
        <w:trPr>
          <w:trHeight w:val="454" w:hRule="atLeast"/>
        </w:trPr>
        <w:tc>
          <w:tcPr>
            <w:tcW w:w="1351" w:type="dxa"/>
            <w:vMerge w:val="continue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</w:p>
        </w:tc>
        <w:tc>
          <w:tcPr>
            <w:tcW w:w="1823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4b类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70</w:t>
            </w:r>
          </w:p>
        </w:tc>
        <w:tc>
          <w:tcPr>
            <w:tcW w:w="2674" w:type="dxa"/>
            <w:vAlign w:val="center"/>
          </w:tcPr>
          <w:p>
            <w:pPr>
              <w:widowControl w:val="0"/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32"/>
                <w:szCs w:val="32"/>
                <w:lang w:val="en-US" w:eastAsia="zh-CN"/>
              </w:rPr>
              <w:t>60</w:t>
            </w:r>
          </w:p>
        </w:tc>
      </w:tr>
      <w:bookmarkEnd w:id="3"/>
      <w:bookmarkEnd w:id="4"/>
      <w:bookmarkEnd w:id="5"/>
      <w:bookmarkEnd w:id="12"/>
    </w:tbl>
    <w:p>
      <w:pPr>
        <w:pStyle w:val="6"/>
        <w:numPr>
          <w:ilvl w:val="0"/>
          <w:numId w:val="2"/>
        </w:numPr>
        <w:wordWrap/>
        <w:adjustRightInd/>
        <w:snapToGrid/>
        <w:spacing w:before="0" w:after="0" w:line="560" w:lineRule="exact"/>
        <w:ind w:left="0" w:leftChars="0" w:right="0"/>
        <w:textAlignment w:val="auto"/>
        <w:rPr>
          <w:rFonts w:hint="default" w:ascii="Times New Roman" w:hAnsi="Times New Roman" w:eastAsia="宋体" w:cs="Times New Roman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bookmarkStart w:id="13" w:name="_Toc3843"/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highlight w:val="none"/>
          <w:lang w:val="en-US" w:eastAsia="zh-CN" w:bidi="ar-SA"/>
        </w:rPr>
        <w:t>声环境功能区划分方案</w:t>
      </w:r>
    </w:p>
    <w:p>
      <w:pPr>
        <w:pStyle w:val="5"/>
        <w:numPr>
          <w:numId w:val="0"/>
        </w:numPr>
        <w:wordWrap/>
        <w:adjustRightInd/>
        <w:snapToGrid/>
        <w:spacing w:line="560" w:lineRule="exact"/>
        <w:ind w:left="0" w:right="0" w:firstLine="643" w:firstLineChars="200"/>
        <w:textAlignment w:val="auto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t>1.规划范围及时限</w:t>
      </w:r>
    </w:p>
    <w:bookmarkEnd w:id="13"/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声环境功能区应覆盖整个城市规划区范围，本次声环境功能区划分范围以《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博爱县城乡总体规划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》（201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-2035）为依据，以规划的中心城区为范围进行划分。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</w:rPr>
        <w:t>本次规划确定的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eastAsia="zh-CN"/>
        </w:rPr>
        <w:t>博爱县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</w:rPr>
        <w:t>城区增长边界如下：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规划范围北至郑太高铁线，东至兴园路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--靳家岭路</w:t>
      </w:r>
      <w:r>
        <w:rPr>
          <w:rFonts w:hint="eastAsia" w:ascii="仿宋" w:hAnsi="仿宋" w:eastAsia="仿宋" w:cs="仿宋"/>
          <w:color w:val="FF0000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南至纬三路，西至月山路，规划城市建设用地面积37km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vertAlign w:val="superscript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本次声功能区划分以中心城区建设用地范围、特殊用地及部分其他用地为基础，以《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博爱县城乡总体规划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》（201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-2035）城区土地利用规划图为底图进行划分。</w:t>
      </w:r>
    </w:p>
    <w:p>
      <w:pPr>
        <w:wordWrap/>
        <w:adjustRightInd/>
        <w:snapToGrid/>
        <w:spacing w:line="560" w:lineRule="exact"/>
        <w:ind w:left="0" w:right="0" w:firstLine="48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根据《声环境功能区划分技术规范》(GB/T15190-2014)中区划的基本原则中“5.5 根据城市规模和用地变化情况，噪声区划可适时调整，原则上不超过5年调整一次”。结合城乡总体规划时限，本次声环境功能区区划时限为2022年至2027年。</w:t>
      </w:r>
    </w:p>
    <w:p>
      <w:pPr>
        <w:pStyle w:val="2"/>
        <w:wordWrap/>
        <w:adjustRightInd/>
        <w:snapToGrid/>
        <w:spacing w:line="560" w:lineRule="exact"/>
        <w:ind w:left="0" w:right="0"/>
        <w:textAlignment w:val="auto"/>
        <w:rPr>
          <w:rFonts w:hint="eastAsia" w:ascii="楷体" w:hAnsi="楷体" w:eastAsia="楷体" w:cs="楷体"/>
          <w:b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color w:val="auto"/>
          <w:kern w:val="2"/>
          <w:sz w:val="32"/>
          <w:szCs w:val="32"/>
          <w:lang w:val="en-US" w:eastAsia="zh-CN" w:bidi="ar-SA"/>
        </w:rPr>
        <w:t>2.划分结果</w:t>
      </w:r>
    </w:p>
    <w:p>
      <w:pPr>
        <w:wordWrap/>
        <w:adjustRightInd/>
        <w:snapToGrid/>
        <w:spacing w:line="560" w:lineRule="exact"/>
        <w:ind w:left="0" w:right="0" w:firstLine="640" w:firstLineChars="200"/>
        <w:textAlignment w:val="auto"/>
        <w:rPr>
          <w:color w:val="auto"/>
          <w:sz w:val="32"/>
          <w:szCs w:val="32"/>
          <w:highlight w:val="none"/>
        </w:rPr>
      </w:pPr>
      <w:bookmarkStart w:id="14" w:name="_Toc110524912"/>
      <w:bookmarkStart w:id="15" w:name="_Toc47341287"/>
      <w:bookmarkStart w:id="16" w:name="_Toc21007"/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城区声环境功能区划范围总面积为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35.423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km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，其中1类声环境功能区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个片区、2类声环境功能区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个片区，3类声环境功能区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个片区。其中1类声环境功能区面积为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14.251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km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，占整个规划功能区面积的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40.23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%；2类声环境功能区面积为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11.023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km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，占整个规划功能区面积的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31.12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%；3类声环境功能区面积为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10.149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km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，占整个规划功能区面积的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28.65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%。从县城建成区实际情况考虑，暂不划分0类声环境功能区。各类功能区占地面积统计详见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下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表。</w:t>
      </w:r>
    </w:p>
    <w:p>
      <w:pPr>
        <w:wordWrap/>
        <w:adjustRightInd/>
        <w:snapToGrid/>
        <w:spacing w:line="560" w:lineRule="exact"/>
        <w:ind w:left="0" w:right="0" w:firstLine="640" w:firstLineChars="200"/>
        <w:jc w:val="center"/>
        <w:textAlignment w:val="auto"/>
        <w:rPr>
          <w:rFonts w:eastAsia="黑体"/>
          <w:bCs/>
          <w:color w:val="auto"/>
          <w:sz w:val="32"/>
          <w:szCs w:val="32"/>
          <w:highlight w:val="none"/>
        </w:rPr>
      </w:pPr>
      <w:r>
        <w:rPr>
          <w:rFonts w:hint="eastAsia" w:eastAsia="黑体"/>
          <w:bCs/>
          <w:color w:val="auto"/>
          <w:sz w:val="32"/>
          <w:szCs w:val="32"/>
          <w:highlight w:val="none"/>
          <w:lang w:eastAsia="zh-CN"/>
        </w:rPr>
        <w:t>博爱县</w:t>
      </w:r>
      <w:r>
        <w:rPr>
          <w:rFonts w:eastAsia="黑体"/>
          <w:bCs/>
          <w:color w:val="auto"/>
          <w:sz w:val="32"/>
          <w:szCs w:val="32"/>
          <w:highlight w:val="none"/>
        </w:rPr>
        <w:t>划定噪声功能区用地统计表</w:t>
      </w:r>
    </w:p>
    <w:tbl>
      <w:tblPr>
        <w:tblW w:w="85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1890"/>
        <w:gridCol w:w="2296"/>
        <w:gridCol w:w="2761"/>
      </w:tblGrid>
      <w:tr>
        <w:trPr>
          <w:trHeight w:val="454" w:hRule="atLeast"/>
          <w:jc w:val="center"/>
        </w:trPr>
        <w:tc>
          <w:tcPr>
            <w:tcW w:w="1575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类别</w:t>
            </w:r>
          </w:p>
        </w:tc>
        <w:tc>
          <w:tcPr>
            <w:tcW w:w="1890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片区数（个）</w:t>
            </w:r>
          </w:p>
        </w:tc>
        <w:tc>
          <w:tcPr>
            <w:tcW w:w="2296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面积（km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vertAlign w:val="superscript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）</w:t>
            </w:r>
          </w:p>
        </w:tc>
        <w:tc>
          <w:tcPr>
            <w:tcW w:w="2761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比例（%）</w:t>
            </w:r>
          </w:p>
        </w:tc>
      </w:tr>
      <w:tr>
        <w:trPr>
          <w:trHeight w:val="454" w:hRule="atLeast"/>
          <w:jc w:val="center"/>
        </w:trPr>
        <w:tc>
          <w:tcPr>
            <w:tcW w:w="1575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1类功能区</w:t>
            </w:r>
          </w:p>
        </w:tc>
        <w:tc>
          <w:tcPr>
            <w:tcW w:w="1890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6</w:t>
            </w:r>
          </w:p>
        </w:tc>
        <w:tc>
          <w:tcPr>
            <w:tcW w:w="2296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14.251</w:t>
            </w:r>
          </w:p>
        </w:tc>
        <w:tc>
          <w:tcPr>
            <w:tcW w:w="2761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40.23</w:t>
            </w:r>
          </w:p>
        </w:tc>
      </w:tr>
      <w:tr>
        <w:trPr>
          <w:trHeight w:val="454" w:hRule="atLeast"/>
          <w:jc w:val="center"/>
        </w:trPr>
        <w:tc>
          <w:tcPr>
            <w:tcW w:w="1575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2类功能区</w:t>
            </w:r>
          </w:p>
        </w:tc>
        <w:tc>
          <w:tcPr>
            <w:tcW w:w="1890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7</w:t>
            </w:r>
          </w:p>
        </w:tc>
        <w:tc>
          <w:tcPr>
            <w:tcW w:w="2296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11.023</w:t>
            </w:r>
          </w:p>
        </w:tc>
        <w:tc>
          <w:tcPr>
            <w:tcW w:w="2761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31.12</w:t>
            </w:r>
          </w:p>
        </w:tc>
      </w:tr>
      <w:tr>
        <w:trPr>
          <w:trHeight w:val="454" w:hRule="atLeast"/>
          <w:jc w:val="center"/>
        </w:trPr>
        <w:tc>
          <w:tcPr>
            <w:tcW w:w="1575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3类功能区</w:t>
            </w:r>
          </w:p>
        </w:tc>
        <w:tc>
          <w:tcPr>
            <w:tcW w:w="1890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5</w:t>
            </w:r>
          </w:p>
        </w:tc>
        <w:tc>
          <w:tcPr>
            <w:tcW w:w="2296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10.149</w:t>
            </w:r>
          </w:p>
        </w:tc>
        <w:tc>
          <w:tcPr>
            <w:tcW w:w="2761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28.65</w:t>
            </w:r>
          </w:p>
        </w:tc>
      </w:tr>
      <w:tr>
        <w:trPr>
          <w:trHeight w:val="454" w:hRule="atLeast"/>
          <w:jc w:val="center"/>
        </w:trPr>
        <w:tc>
          <w:tcPr>
            <w:tcW w:w="1575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总计</w:t>
            </w:r>
          </w:p>
        </w:tc>
        <w:tc>
          <w:tcPr>
            <w:tcW w:w="1890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18</w:t>
            </w:r>
          </w:p>
        </w:tc>
        <w:tc>
          <w:tcPr>
            <w:tcW w:w="2296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35.423</w:t>
            </w:r>
          </w:p>
        </w:tc>
        <w:tc>
          <w:tcPr>
            <w:tcW w:w="2761" w:type="dxa"/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highlight w:val="none"/>
                <w:lang w:val="en-US" w:eastAsia="zh-CN"/>
              </w:rPr>
              <w:t>100</w:t>
            </w:r>
          </w:p>
        </w:tc>
      </w:tr>
    </w:tbl>
    <w:p>
      <w:pPr>
        <w:wordWrap/>
        <w:adjustRightInd/>
        <w:snapToGrid/>
        <w:spacing w:line="560" w:lineRule="exact"/>
        <w:ind w:left="0" w:right="0" w:firstLine="640" w:firstLineChars="200"/>
        <w:textAlignment w:val="auto"/>
        <w:rPr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从总体划分情况看，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1类、2类声环境功能区所占比例较大，3类声环境功能区比例较小，符合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城市发展的总体定位和实际情况。</w:t>
      </w:r>
    </w:p>
    <w:p>
      <w:pPr>
        <w:pStyle w:val="6"/>
        <w:numPr>
          <w:ilvl w:val="2"/>
          <w:numId w:val="0"/>
        </w:numPr>
        <w:wordWrap/>
        <w:adjustRightInd/>
        <w:snapToGrid/>
        <w:spacing w:before="0" w:after="0" w:line="560" w:lineRule="exact"/>
        <w:ind w:left="0" w:leftChars="0" w:right="0"/>
        <w:textAlignment w:val="auto"/>
        <w:rPr>
          <w:rFonts w:hint="eastAsia" w:ascii="楷体" w:hAnsi="楷体" w:eastAsia="楷体" w:cs="楷体"/>
          <w:color w:val="auto"/>
          <w:sz w:val="32"/>
          <w:szCs w:val="32"/>
        </w:rPr>
      </w:pPr>
      <w:r>
        <w:rPr>
          <w:rFonts w:hint="eastAsia" w:ascii="楷体" w:hAnsi="楷体" w:eastAsia="楷体" w:cs="楷体"/>
          <w:color w:val="auto"/>
          <w:sz w:val="32"/>
          <w:szCs w:val="32"/>
          <w:lang w:val="en-US" w:eastAsia="zh-CN"/>
        </w:rPr>
        <w:t>3.</w:t>
      </w:r>
      <w:r>
        <w:rPr>
          <w:rFonts w:hint="eastAsia" w:ascii="楷体" w:hAnsi="楷体" w:eastAsia="楷体" w:cs="楷体"/>
          <w:color w:val="auto"/>
          <w:sz w:val="32"/>
          <w:szCs w:val="32"/>
        </w:rPr>
        <w:t>区划划分说明</w:t>
      </w:r>
      <w:bookmarkEnd w:id="14"/>
      <w:bookmarkEnd w:id="15"/>
      <w:bookmarkEnd w:id="16"/>
    </w:p>
    <w:p>
      <w:pPr>
        <w:wordWrap/>
        <w:adjustRightInd/>
        <w:snapToGrid/>
        <w:spacing w:line="56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本次将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城市规划范围划分为4类声环境功能适用区域。其中，无0类声环境功能适用区域（以下简称0类区），1类区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个片区，2类区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个片区，3类区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个片区，沿城市交通干线两侧为4a类区，沿城区铁路线两侧和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eastAsia="zh-CN"/>
        </w:rPr>
        <w:t>博爱县高铁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站为4b类区。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楷体" w:hAnsi="楷体" w:eastAsia="楷体" w:cs="楷体"/>
          <w:color w:val="auto"/>
          <w:sz w:val="32"/>
          <w:szCs w:val="32"/>
        </w:rPr>
      </w:pPr>
      <w:r>
        <w:rPr>
          <w:rFonts w:hint="eastAsia" w:ascii="楷体" w:hAnsi="楷体" w:eastAsia="楷体" w:cs="楷体"/>
          <w:color w:val="auto"/>
          <w:sz w:val="32"/>
          <w:szCs w:val="32"/>
        </w:rPr>
        <w:t>（1）0类声环境功能适用区域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无0类区。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楷体" w:hAnsi="楷体" w:eastAsia="楷体" w:cs="楷体"/>
          <w:color w:val="auto"/>
          <w:sz w:val="32"/>
          <w:szCs w:val="32"/>
        </w:rPr>
      </w:pPr>
      <w:r>
        <w:rPr>
          <w:rFonts w:hint="eastAsia" w:ascii="楷体" w:hAnsi="楷体" w:eastAsia="楷体" w:cs="楷体"/>
          <w:color w:val="auto"/>
          <w:sz w:val="32"/>
          <w:szCs w:val="32"/>
        </w:rPr>
        <w:t>（2）1类声环境功能适用区域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1类声环境功能区涉及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个片区。</w:t>
      </w:r>
    </w:p>
    <w:p>
      <w:pPr>
        <w:numPr>
          <w:numId w:val="0"/>
        </w:numPr>
        <w:wordWrap/>
        <w:adjustRightInd/>
        <w:snapToGrid/>
        <w:spacing w:line="560" w:lineRule="exact"/>
        <w:ind w:left="0" w:right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Ⅰ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号片区：位于城市规划区西北部，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由月山路、人民路、团结路、科技路、滨河路、发展大道合围区域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2.048k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numPr>
          <w:ilvl w:val="0"/>
          <w:numId w:val="3"/>
        </w:num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Ⅱ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由滨河路、人民路、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靳家岭路、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水运村南街道、水运村西街道、科技路、海华路（大练线）、发展大道合围区域，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1.945k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1-Ⅲ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由月山路、发展大道、海华路、文化路合围区域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2.57k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1-Ⅳ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由月山路、文化路、滨河路、群英路、团结路、中山路合围区域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1.985k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1-Ⅴ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由月山路、中山路、团结路、清化街、葵城路、中山路、滨河路、玉祥路合围区域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2.035k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1-Ⅵ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由滨河路、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文化路、海华路（大练线）、中山路、靳家岭路、玉祥路合围区域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3.659k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楷体" w:hAnsi="楷体" w:eastAsia="楷体" w:cs="楷体"/>
          <w:color w:val="auto"/>
          <w:sz w:val="32"/>
          <w:szCs w:val="32"/>
        </w:rPr>
      </w:pPr>
      <w:r>
        <w:rPr>
          <w:rFonts w:hint="eastAsia" w:ascii="楷体" w:hAnsi="楷体" w:eastAsia="楷体" w:cs="楷体"/>
          <w:color w:val="auto"/>
          <w:sz w:val="32"/>
          <w:szCs w:val="32"/>
        </w:rPr>
        <w:t>（3）2类声环境功能适用区域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2类声环境功能区涉及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个片区。</w:t>
      </w:r>
    </w:p>
    <w:p>
      <w:pPr>
        <w:numPr>
          <w:ilvl w:val="0"/>
          <w:numId w:val="3"/>
        </w:numPr>
        <w:wordWrap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Ⅰ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位于城市西北部，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由月山路、太焦铁路（高铁）、滨河路（卫柿线）、人民路合围区域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1.2k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2-Ⅱ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由滨河路（卫柿线）、太焦铁路（高铁）、科技路、靳家岭路、人民路合围区域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1.283k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2-Ⅲ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由团结路、人民路、滨河路、科技路合围区域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1.091k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2-Ⅳ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由海华路、靳家岭路、博爱永威学校北侧街道、中山路(世纪大道)合围区域。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0.936k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2-Ⅴ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由团结路、群英路、滨河路、中山路、葵城路合围区域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1.392k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2-Ⅵ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由月山路、玉祥路、滨河路、鸿昌路合围区域。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2.537k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pStyle w:val="2"/>
        <w:wordWrap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2-VII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由滨河路、玉祥路、靳家岭路、鸿昌路、纬三路、纬一路合围区域。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2.554k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pStyle w:val="2"/>
        <w:wordWrap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/>
          <w:color w:val="auto"/>
          <w:sz w:val="32"/>
          <w:szCs w:val="32"/>
        </w:rPr>
      </w:pP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楷体" w:hAnsi="楷体" w:eastAsia="楷体" w:cs="楷体"/>
          <w:color w:val="auto"/>
          <w:sz w:val="32"/>
          <w:szCs w:val="32"/>
        </w:rPr>
      </w:pPr>
      <w:r>
        <w:rPr>
          <w:rFonts w:hint="eastAsia" w:ascii="楷体" w:hAnsi="楷体" w:eastAsia="楷体" w:cs="楷体"/>
          <w:color w:val="auto"/>
          <w:sz w:val="32"/>
          <w:szCs w:val="32"/>
        </w:rPr>
        <w:t>（4）3类声环境功能适用区域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3类声环境功能区涉及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个片区。</w:t>
      </w:r>
    </w:p>
    <w:p>
      <w:pPr>
        <w:numPr>
          <w:ilvl w:val="0"/>
          <w:numId w:val="3"/>
        </w:numPr>
        <w:wordWrap/>
        <w:adjustRightInd/>
        <w:snapToGrid/>
        <w:spacing w:line="560" w:lineRule="exact"/>
        <w:ind w:left="0" w:leftChars="0" w:right="0"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Ⅰ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由海华路、科技路、水运村西街道、水运村南街道靳家岭路、博爱永威学校北侧街道合围区域。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1.465k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3-Ⅱ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号片区：位于城市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东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北部，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由靳家岭路、科技路、发展大道合围区域。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1.169k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3-Ⅲ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号片区：位于城市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东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北部，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由靳家岭路、发展大道、文化路合围区域。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2.429k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3-Ⅳ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由靳家岭路、文化路、兴园路、中山路（世纪大道）合围区域。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1.291k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3-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Ⅴ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号片区：位于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产业集聚区南部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olor w:val="auto"/>
          <w:sz w:val="32"/>
          <w:szCs w:val="32"/>
          <w:highlight w:val="none"/>
          <w:lang w:val="en-US" w:eastAsia="zh-CN"/>
        </w:rPr>
        <w:t>由团结路、鸿昌路、纬一路、滨河路、纬三路合围区域。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片区面积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3.795k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m</w:t>
      </w:r>
      <w:r>
        <w:rPr>
          <w:rFonts w:hint="eastAsia" w:ascii="仿宋" w:hAnsi="仿宋" w:eastAsia="仿宋" w:cs="仿宋"/>
          <w:color w:val="auto"/>
          <w:sz w:val="32"/>
          <w:szCs w:val="32"/>
          <w:vertAlign w:val="superscript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（5）4类声环境功能适用区域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在本次划分中只对4类功能区对应的道路的进行明确，而不对4类功能区进行区界划分。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以城市主干道、次干道两侧一定距离内的区域划为4a类声环境功能区域。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以铁路及火车站两侧一定距离内的区域划为4b类声环境功能区域。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在本次划分中只对4类功能区对应的道路进行明确，而不对4类功能区进行区界划分。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声环境功能区区划范围主要交通干线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种共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21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条，其中铁路1条、城市主干路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条，城市次干路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条，4类区涉及主要交通干道划分情况见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下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表。</w:t>
      </w:r>
    </w:p>
    <w:p>
      <w:pPr>
        <w:pStyle w:val="2"/>
        <w:wordWrap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城市道路功能区划分一览表</w:t>
      </w:r>
    </w:p>
    <w:tbl>
      <w:tblPr>
        <w:tblW w:w="852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929"/>
        <w:gridCol w:w="1000"/>
        <w:gridCol w:w="1283"/>
        <w:gridCol w:w="1267"/>
        <w:gridCol w:w="1017"/>
        <w:gridCol w:w="933"/>
        <w:gridCol w:w="1603"/>
      </w:tblGrid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序号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标准</w:t>
            </w:r>
          </w:p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名称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类别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起点-止点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备 注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红线宽度（m）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功能区类型</w:t>
            </w:r>
          </w:p>
        </w:tc>
        <w:tc>
          <w:tcPr>
            <w:tcW w:w="160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适用区域</w:t>
            </w: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月山路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人民路-鸿昌路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长5.3千米，宽55米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55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道路两侧各距红线垂直距离为：相邻1类区域为50米，2类区域为40米，3类区域为20米</w:t>
            </w: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葵城路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发展大道-鸿昌路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长3.97千米，宽为42米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42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滨河路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人民路-鸿昌路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长5.55千米，宽50米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50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人民路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月山路-青天河路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长5.3千米，宽65米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69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发展大道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丰收路-月山路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长5.3千米，宽57米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57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团结路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鸿昌路-发展大道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长3.8千米，宽40米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40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中山路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月山路-丰收路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长5.4千米，宽42米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44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群英街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次干道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葵城路-团结路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长0.88千米，宽6米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31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玉祥路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月山路-青天河路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长5.66千米，宽50米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51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鸿昌路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月山路-青天河路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长5.66千米，宽55米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55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11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文化路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团结路-青天河路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长5.30千米，宽48米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48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12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海华路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人民路-鸿昌路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长5.6千米，宽55米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55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13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青天河路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/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长2.558千米，宽55米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55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14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纬三路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/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长2.764千米，宽40米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40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15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靳家岭路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/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长5.922千米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45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16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科技路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滨河路-靳家岭路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长约2.16千米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40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17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和谐路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次干道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/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长约1.4千米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40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18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柏山路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次干道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/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长约1.05千米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26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19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兴园路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主干道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/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长1.789千米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56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20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竹园路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次干道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长约2.9千米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24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4a</w:t>
            </w:r>
          </w:p>
        </w:tc>
        <w:tc>
          <w:tcPr>
            <w:tcW w:w="160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</w:p>
        </w:tc>
      </w:tr>
      <w:tr>
        <w:trPr>
          <w:trHeight w:val="454" w:hRule="atLeast"/>
        </w:trPr>
        <w:tc>
          <w:tcPr>
            <w:tcW w:w="49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21</w:t>
            </w:r>
          </w:p>
        </w:tc>
        <w:tc>
          <w:tcPr>
            <w:tcW w:w="92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太焦铁路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铁路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/</w:t>
            </w:r>
          </w:p>
        </w:tc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约8.00千米</w:t>
            </w:r>
          </w:p>
        </w:tc>
        <w:tc>
          <w:tcPr>
            <w:tcW w:w="101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60</w:t>
            </w:r>
          </w:p>
        </w:tc>
        <w:tc>
          <w:tcPr>
            <w:tcW w:w="93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4b</w:t>
            </w:r>
          </w:p>
        </w:tc>
        <w:tc>
          <w:tcPr>
            <w:tcW w:w="1603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wordWrap/>
              <w:adjustRightInd/>
              <w:snapToGrid/>
              <w:spacing w:beforeAutospacing="0" w:afterAutospacing="0" w:line="560" w:lineRule="exact"/>
              <w:ind w:left="0" w:leftChars="0" w:right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sz w:val="32"/>
                <w:szCs w:val="32"/>
                <w:lang w:val="en-US" w:eastAsia="zh-CN"/>
              </w:rPr>
              <w:t>道路两侧各距红线垂直距离为：相邻1类区域为50米，2类区域为40米，3类区域为20米</w:t>
            </w:r>
          </w:p>
        </w:tc>
      </w:tr>
    </w:tbl>
    <w:p>
      <w:pPr>
        <w:widowControl w:val="0"/>
        <w:wordWrap/>
        <w:adjustRightInd/>
        <w:snapToGrid/>
        <w:spacing w:line="560" w:lineRule="exact"/>
        <w:ind w:left="0" w:leftChars="0" w:right="0" w:firstLine="0" w:firstLineChars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楷体" w:hAnsi="楷体" w:eastAsia="楷体" w:cs="楷体"/>
          <w:color w:val="auto"/>
          <w:sz w:val="32"/>
          <w:szCs w:val="32"/>
        </w:rPr>
      </w:pPr>
      <w:r>
        <w:rPr>
          <w:rFonts w:hint="eastAsia" w:ascii="楷体" w:hAnsi="楷体" w:eastAsia="楷体" w:cs="楷体"/>
          <w:color w:val="auto"/>
          <w:sz w:val="32"/>
          <w:szCs w:val="32"/>
        </w:rPr>
        <w:fldChar w:fldCharType="begin"/>
      </w:r>
      <w:r>
        <w:rPr>
          <w:rFonts w:hint="eastAsia" w:ascii="楷体" w:hAnsi="楷体" w:eastAsia="楷体" w:cs="楷体"/>
          <w:color w:val="auto"/>
          <w:sz w:val="32"/>
          <w:szCs w:val="32"/>
        </w:rPr>
        <w:instrText xml:space="preserve">= 1 \* GB3</w:instrText>
      </w:r>
      <w:r>
        <w:rPr>
          <w:rFonts w:hint="eastAsia" w:ascii="楷体" w:hAnsi="楷体" w:eastAsia="楷体" w:cs="楷体"/>
          <w:color w:val="auto"/>
          <w:sz w:val="32"/>
          <w:szCs w:val="32"/>
        </w:rPr>
        <w:fldChar w:fldCharType="separate"/>
      </w:r>
      <w:r>
        <w:rPr>
          <w:rFonts w:hint="eastAsia" w:ascii="楷体" w:hAnsi="楷体" w:eastAsia="楷体" w:cs="楷体"/>
          <w:color w:val="auto"/>
          <w:sz w:val="32"/>
          <w:szCs w:val="32"/>
        </w:rPr>
        <w:t>①</w:t>
      </w:r>
      <w:r>
        <w:rPr>
          <w:rFonts w:hint="eastAsia" w:ascii="楷体" w:hAnsi="楷体" w:eastAsia="楷体" w:cs="楷体"/>
          <w:color w:val="auto"/>
          <w:sz w:val="32"/>
          <w:szCs w:val="32"/>
        </w:rPr>
        <w:fldChar w:fldCharType="end"/>
      </w:r>
      <w:r>
        <w:rPr>
          <w:rFonts w:hint="eastAsia" w:ascii="楷体" w:hAnsi="楷体" w:eastAsia="楷体" w:cs="楷体"/>
          <w:color w:val="auto"/>
          <w:sz w:val="32"/>
          <w:szCs w:val="32"/>
        </w:rPr>
        <w:t>4a类声环境功能区适用区域。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以城市主干道、次干道两侧一定距离内的区域划为4a类声环境功能区域。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将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城市建成区已有和规划建设主干路、次干路红线外一定范围内的区域，依据《声环境功能区划分技术规范》中条款8.3将道路红线外一定距离内的区域划为4a类标准适用区域。距离的确定方法如下：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相邻区域为l类声环境功能区域，距离为50m；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相邻区域为2类声环境功能区域，距离为40m；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相邻区域为3类声环境功能区域，距离为20m。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楷体" w:hAnsi="楷体" w:eastAsia="楷体" w:cs="楷体"/>
          <w:color w:val="auto"/>
          <w:sz w:val="32"/>
          <w:szCs w:val="32"/>
        </w:rPr>
      </w:pPr>
      <w:r>
        <w:rPr>
          <w:rFonts w:hint="eastAsia" w:ascii="楷体" w:hAnsi="楷体" w:eastAsia="楷体" w:cs="楷体"/>
          <w:color w:val="auto"/>
          <w:sz w:val="32"/>
          <w:szCs w:val="32"/>
        </w:rPr>
        <w:fldChar w:fldCharType="begin"/>
      </w:r>
      <w:r>
        <w:rPr>
          <w:rFonts w:hint="eastAsia" w:ascii="楷体" w:hAnsi="楷体" w:eastAsia="楷体" w:cs="楷体"/>
          <w:color w:val="auto"/>
          <w:sz w:val="32"/>
          <w:szCs w:val="32"/>
        </w:rPr>
        <w:instrText xml:space="preserve">= 2 \* GB3</w:instrText>
      </w:r>
      <w:r>
        <w:rPr>
          <w:rFonts w:hint="eastAsia" w:ascii="楷体" w:hAnsi="楷体" w:eastAsia="楷体" w:cs="楷体"/>
          <w:color w:val="auto"/>
          <w:sz w:val="32"/>
          <w:szCs w:val="32"/>
        </w:rPr>
        <w:fldChar w:fldCharType="separate"/>
      </w:r>
      <w:r>
        <w:rPr>
          <w:rFonts w:hint="eastAsia" w:ascii="楷体" w:hAnsi="楷体" w:eastAsia="楷体" w:cs="楷体"/>
          <w:color w:val="auto"/>
          <w:sz w:val="32"/>
          <w:szCs w:val="32"/>
        </w:rPr>
        <w:t>②</w:t>
      </w:r>
      <w:r>
        <w:rPr>
          <w:rFonts w:hint="eastAsia" w:ascii="楷体" w:hAnsi="楷体" w:eastAsia="楷体" w:cs="楷体"/>
          <w:color w:val="auto"/>
          <w:sz w:val="32"/>
          <w:szCs w:val="32"/>
        </w:rPr>
        <w:fldChar w:fldCharType="end"/>
      </w:r>
      <w:r>
        <w:rPr>
          <w:rFonts w:hint="eastAsia" w:ascii="楷体" w:hAnsi="楷体" w:eastAsia="楷体" w:cs="楷体"/>
          <w:color w:val="auto"/>
          <w:sz w:val="32"/>
          <w:szCs w:val="32"/>
        </w:rPr>
        <w:t>4b类声环境功能区域。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区城区内铁路：主要为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太焦高铁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若铁路两侧相邻区域为l类声环境功能区域，距离为50m；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若铁路两侧相邻区域为2类声环境功能区域，距离为40m；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若铁路两侧相邻区域为3类声环境功能区域，距离为20m。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根据《声环境功能区划分技术规范》中条款第9部分其他规定的要求，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博爱高铁站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划分为4b类声环境功能区。</w:t>
      </w:r>
    </w:p>
    <w:p>
      <w:pPr>
        <w:pStyle w:val="9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wordWrap/>
        <w:adjustRightInd/>
        <w:snapToGrid/>
        <w:spacing w:before="0" w:beforeAutospacing="0" w:after="0" w:afterAutospacing="0" w:line="560" w:lineRule="exact"/>
        <w:ind w:left="0" w:right="0" w:firstLine="420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四、补充说明</w:t>
      </w:r>
    </w:p>
    <w:p>
      <w:pPr>
        <w:pStyle w:val="9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wordWrap/>
        <w:adjustRightInd/>
        <w:snapToGrid/>
        <w:spacing w:before="0" w:beforeAutospacing="0" w:after="0" w:afterAutospacing="0" w:line="560" w:lineRule="exact"/>
        <w:ind w:left="0" w:right="0" w:firstLine="420"/>
        <w:jc w:val="both"/>
        <w:textAlignment w:val="auto"/>
        <w:rPr>
          <w:rFonts w:hint="eastAsia" w:ascii="楷体" w:hAnsi="楷体" w:eastAsia="楷体" w:cs="楷体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1.未建成的区域</w:t>
      </w:r>
    </w:p>
    <w:p>
      <w:pPr>
        <w:pStyle w:val="9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060000" w:fill="FFFFFF"/>
        <w:wordWrap/>
        <w:adjustRightInd/>
        <w:snapToGrid/>
        <w:spacing w:before="0" w:beforeAutospacing="0" w:after="0" w:afterAutospacing="0" w:line="560" w:lineRule="exact"/>
        <w:ind w:left="0" w:right="0" w:firstLine="42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未建成区在开发建设完成前暂执行2类区域标准，已形成的集镇范围内执行2类区域标准。建设完成后按所划定功能区标准执行。</w:t>
      </w:r>
    </w:p>
    <w:p>
      <w:pPr>
        <w:wordWrap/>
        <w:adjustRightInd/>
        <w:snapToGrid/>
        <w:spacing w:line="560" w:lineRule="exact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2.《博爱县声环境功能区划分方案（2022）》适用范围为中心城区，作为本地区环境评价、建设项目审批、噪声纠纷评判的法律依据；本方案自印发之日起施行；具体事宜由焦作市生态环境局博爱分局负责解释。</w:t>
      </w:r>
    </w:p>
    <w:p>
      <w:pPr>
        <w:wordWrap/>
        <w:adjustRightInd/>
        <w:snapToGrid/>
        <w:spacing w:line="560" w:lineRule="exact"/>
        <w:ind w:left="0" w:right="0"/>
        <w:textAlignment w:val="auto"/>
        <w:rPr>
          <w:rFonts w:hint="eastAsia"/>
          <w:color w:val="auto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/>
        </w:sectPr>
      </w:pPr>
    </w:p>
    <w:p>
      <w:pPr>
        <w:spacing w:line="240" w:lineRule="auto"/>
        <w:ind w:left="0" w:leftChars="0" w:firstLine="0" w:firstLineChars="0"/>
        <w:jc w:val="center"/>
        <w:rPr>
          <w:rFonts w:hint="eastAsia" w:eastAsia="宋体"/>
          <w:color w:val="auto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4"/>
          <w:lang w:val="en-US" w:eastAsia="zh-CN" w:bidi="ar-SA"/>
        </w:rPr>
        <w:pict>
          <v:shape id="_x0000_i1025" o:spid="_x0000_s1027" type="#_x0000_t75" style="height:906.6pt;width:640.9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auto"/>
          <w:kern w:val="2"/>
          <w:sz w:val="24"/>
          <w:lang w:val="en-US" w:eastAsia="zh-CN" w:bidi="ar-SA"/>
        </w:rPr>
        <w:pict>
          <v:shape id="_x0000_i1028" o:spid="_x0000_s1028" type="#_x0000_t75" style="height:935.3pt;width:661.4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6838" w:h="23811"/>
      <w:pgMar w:top="1440" w:right="1800" w:bottom="1440" w:left="1800" w:header="851" w:footer="992" w:gutter="0"/>
      <w:pgNumType w:fmt="decimal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altName w:val="黑体"/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7"/>
      <w:rPr>
        <w:rFonts w:hint="eastAsia" w:eastAsia="宋体"/>
        <w:lang w:val="en-US" w:eastAsia="zh-CN"/>
      </w:rPr>
    </w:pPr>
    <w:r>
      <w:rPr>
        <w:rFonts w:ascii="Times New Roman" w:hAnsi="Times New Roman" w:eastAsia="宋体" w:cs="Times New Roman"/>
        <w:kern w:val="2"/>
        <w:sz w:val="18"/>
        <w:lang w:val="en-US" w:eastAsia="zh-CN" w:bidi="ar-SA"/>
      </w:rPr>
      <w:pict>
        <v:rect id="文本框 1" o:spid="_x0000_s1025" style="position:absolute;left:0;margin-top:0pt;height:144pt;width:144pt;mso-position-horizontal:center;mso-position-horizontal-relative:margin;mso-wrap-style:none;rotation:0f;z-index:251658240;" o:ole="f" fillcolor="#FFFFFF" filled="f" o:preferrelative="t" stroked="f" coordsize="21600,21600">
          <v:fill on="f" color2="#FFFFFF" focus="0%"/>
          <v:imagedata gain="65536f" blacklevel="0f" gamma="0"/>
          <o:lock v:ext="edit" position="f" selection="f" grouping="f" rotation="f" cropping="f" text="f" aspectratio="f"/>
          <v:textbox inset="0.00pt,0.00pt,0.00pt,0.00pt" style="mso-fit-shape-to-text:t;">
            <w:txbxContent>
              <w:p>
                <w:pPr>
                  <w:pStyle w:val="7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rect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37292288">
    <w:nsid w:val="082EEA00"/>
    <w:multiLevelType w:val="singleLevel"/>
    <w:tmpl w:val="082EEA00"/>
    <w:lvl w:ilvl="0" w:tentative="1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442838870">
    <w:nsid w:val="55FFF956"/>
    <w:multiLevelType w:val="multilevel"/>
    <w:tmpl w:val="55FFF956"/>
    <w:lvl w:ilvl="0" w:tentative="1">
      <w:start w:val="1"/>
      <w:numFmt w:val="decimal"/>
      <w:suff w:val="nothing"/>
      <w:lvlText w:val="%1."/>
      <w:lvlJc w:val="left"/>
      <w:pPr>
        <w:tabs>
          <w:tab w:val="left" w:pos="187"/>
        </w:tabs>
        <w:ind w:left="432" w:hanging="432"/>
      </w:pPr>
      <w:rPr>
        <w:rFonts w:hint="default"/>
      </w:rPr>
    </w:lvl>
    <w:lvl w:ilvl="1" w:tentative="1">
      <w:start w:val="1"/>
      <w:numFmt w:val="decimal"/>
      <w:lvlText w:val="%1.%2."/>
      <w:lvlJc w:val="left"/>
      <w:pPr>
        <w:tabs>
          <w:tab w:val="left" w:pos="575"/>
        </w:tabs>
        <w:ind w:left="575" w:hanging="575"/>
      </w:pPr>
      <w:rPr>
        <w:rFonts w:hint="default"/>
      </w:rPr>
    </w:lvl>
    <w:lvl w:ilvl="2" w:tentative="1">
      <w:start w:val="1"/>
      <w:numFmt w:val="decimal"/>
      <w:pStyle w:val="6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tabs>
          <w:tab w:val="left" w:pos="1151"/>
        </w:tabs>
        <w:ind w:left="1151" w:hanging="1151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1583"/>
        </w:tabs>
        <w:ind w:left="1583" w:hanging="1583"/>
      </w:pPr>
      <w:rPr>
        <w:rFonts w:hint="default"/>
      </w:rPr>
    </w:lvl>
  </w:abstractNum>
  <w:abstractNum w:abstractNumId="2041105944">
    <w:nsid w:val="79A8CE18"/>
    <w:multiLevelType w:val="singleLevel"/>
    <w:tmpl w:val="79A8CE18"/>
    <w:lvl w:ilvl="0" w:tentative="1">
      <w:start w:val="1"/>
      <w:numFmt w:val="decimal"/>
      <w:suff w:val="nothing"/>
      <w:lvlText w:val="%1-"/>
      <w:lvlJc w:val="left"/>
    </w:lvl>
  </w:abstractNum>
  <w:num w:numId="1">
    <w:abstractNumId w:val="1442838870"/>
  </w:num>
  <w:num w:numId="2">
    <w:abstractNumId w:val="137292288"/>
  </w:num>
  <w:num w:numId="3">
    <w:abstractNumId w:val="20411059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next w:val="2"/>
    <w:qFormat/>
    <w:uiPriority w:val="0"/>
    <w:pPr>
      <w:widowControl w:val="0"/>
      <w:spacing w:line="48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32"/>
    </w:rPr>
  </w:style>
  <w:style w:type="paragraph" w:styleId="4">
    <w:name w:val="heading 2"/>
    <w:basedOn w:val="1"/>
    <w:next w:val="5"/>
    <w:unhideWhenUsed/>
    <w:qFormat/>
    <w:uiPriority w:val="0"/>
    <w:pPr>
      <w:keepNext/>
      <w:keepLines/>
      <w:spacing w:before="260" w:beforeAutospacing="0" w:after="260" w:afterAutospacing="0" w:line="413" w:lineRule="auto"/>
      <w:outlineLvl w:val="1"/>
    </w:pPr>
    <w:rPr>
      <w:rFonts w:ascii="Arial" w:hAnsi="Arial" w:eastAsia="宋体"/>
      <w:b/>
      <w:sz w:val="28"/>
    </w:rPr>
  </w:style>
  <w:style w:type="paragraph" w:styleId="6">
    <w:name w:val="heading 3"/>
    <w:basedOn w:val="1"/>
    <w:next w:val="5"/>
    <w:qFormat/>
    <w:uiPriority w:val="9"/>
    <w:pPr>
      <w:keepNext/>
      <w:keepLines/>
      <w:numPr>
        <w:ilvl w:val="2"/>
        <w:numId w:val="1"/>
      </w:numPr>
      <w:tabs>
        <w:tab w:val="left" w:pos="187"/>
      </w:tabs>
      <w:spacing w:before="60" w:after="60"/>
      <w:ind w:firstLine="0" w:firstLineChars="0"/>
      <w:outlineLvl w:val="2"/>
    </w:pPr>
    <w:rPr>
      <w:b/>
    </w:rPr>
  </w:style>
  <w:style w:type="character" w:default="1" w:styleId="10">
    <w:name w:val="Default Paragraph Font"/>
    <w:semiHidden/>
    <w:qFormat/>
    <w:uiPriority w:val="0"/>
  </w:style>
  <w:style w:type="paragraph" w:styleId="2">
    <w:name w:val="Block Text"/>
    <w:basedOn w:val="1"/>
    <w:next w:val="1"/>
    <w:unhideWhenUsed/>
    <w:qFormat/>
    <w:uiPriority w:val="99"/>
    <w:pPr>
      <w:snapToGrid w:val="0"/>
      <w:spacing w:line="408" w:lineRule="auto"/>
      <w:ind w:left="-113" w:right="-510" w:firstLine="510"/>
    </w:pPr>
    <w:rPr>
      <w:szCs w:val="20"/>
    </w:rPr>
  </w:style>
  <w:style w:type="paragraph" w:styleId="5">
    <w:name w:val="Normal Indent"/>
    <w:basedOn w:val="1"/>
    <w:qFormat/>
    <w:uiPriority w:val="0"/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customXml" Target="../customXml/item1.xml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4302</Words>
  <Characters>4982</Characters>
  <Lines>0</Lines>
  <Paragraphs>0</Paragraphs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2022-11-22T09:16:00Z</dcterms:created>
  <dc:creator>Administrator</dc:creator>
  <cp:lastModifiedBy>wfk</cp:lastModifiedBy>
  <dcterms:modified xsi:type="dcterms:W3CDTF">2022-12-21T04:46:53Z</dcterms:modified>
  <dc:title>博爱县中心城区声环境功能区划分方案简本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  <property fmtid="{D5CDD505-2E9C-101B-9397-08002B2CF9AE}" pid="3" name="ICV">
    <vt:lpwstr>695971997BE2427CB41D7153FAC06684</vt:lpwstr>
  </property>
</Properties>
</file>