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ascii="黑体" w:hAnsi="黑体" w:eastAsia="黑体" w:cs="黑体"/>
          <w:szCs w:val="32"/>
        </w:rPr>
      </w:pPr>
      <w:r>
        <w:rPr>
          <w:rFonts w:hint="eastAsia" w:ascii="黑体" w:hAnsi="黑体" w:eastAsia="黑体" w:cs="黑体"/>
          <w:szCs w:val="32"/>
        </w:rPr>
        <w:t>附  件</w:t>
      </w:r>
    </w:p>
    <w:p>
      <w:pPr>
        <w:adjustRightInd w:val="0"/>
        <w:snapToGrid w:val="0"/>
        <w:spacing w:line="560" w:lineRule="exact"/>
        <w:rPr>
          <w:rFonts w:eastAsia="仿宋_GB231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国家和省明确要求取消的水电气暖行业收费项目</w:t>
      </w:r>
    </w:p>
    <w:p>
      <w:pPr>
        <w:adjustRightInd w:val="0"/>
        <w:snapToGrid w:val="0"/>
        <w:spacing w:line="560" w:lineRule="exact"/>
        <w:rPr>
          <w:rFonts w:eastAsia="仿宋_GB2312"/>
          <w:szCs w:val="32"/>
        </w:rPr>
      </w:pP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465"/>
      </w:tblGrid>
      <w:tr>
        <w:trPr>
          <w:trHeight w:val="871" w:hRule="atLeast"/>
        </w:trPr>
        <w:tc>
          <w:tcPr>
            <w:tcW w:w="2595" w:type="dxa"/>
            <w:vAlign w:val="center"/>
          </w:tcPr>
          <w:p>
            <w:pPr>
              <w:adjustRightInd w:val="0"/>
              <w:snapToGrid w:val="0"/>
              <w:spacing w:line="560" w:lineRule="exact"/>
              <w:jc w:val="center"/>
              <w:rPr>
                <w:rFonts w:ascii="黑体" w:hAnsi="黑体" w:eastAsia="黑体" w:cs="黑体"/>
                <w:sz w:val="28"/>
                <w:szCs w:val="28"/>
              </w:rPr>
            </w:pPr>
            <w:r>
              <w:rPr>
                <w:rFonts w:hint="eastAsia" w:ascii="黑体" w:hAnsi="黑体" w:eastAsia="黑体" w:cs="黑体"/>
                <w:sz w:val="28"/>
                <w:szCs w:val="28"/>
              </w:rPr>
              <w:t>所属行业及环节</w:t>
            </w:r>
          </w:p>
        </w:tc>
        <w:tc>
          <w:tcPr>
            <w:tcW w:w="6465" w:type="dxa"/>
            <w:vAlign w:val="center"/>
          </w:tcPr>
          <w:p>
            <w:pPr>
              <w:adjustRightInd w:val="0"/>
              <w:snapToGrid w:val="0"/>
              <w:spacing w:line="560" w:lineRule="exact"/>
              <w:jc w:val="center"/>
              <w:rPr>
                <w:rFonts w:ascii="黑体" w:hAnsi="黑体" w:eastAsia="黑体" w:cs="黑体"/>
                <w:sz w:val="28"/>
                <w:szCs w:val="28"/>
              </w:rPr>
            </w:pPr>
            <w:r>
              <w:rPr>
                <w:rFonts w:hint="eastAsia" w:ascii="黑体" w:hAnsi="黑体" w:eastAsia="黑体" w:cs="黑体"/>
                <w:sz w:val="28"/>
                <w:szCs w:val="28"/>
              </w:rPr>
              <w:t>取  消  项  目</w:t>
            </w:r>
          </w:p>
        </w:tc>
      </w:tr>
      <w:tr>
        <w:trPr>
          <w:trHeight w:val="1750" w:hRule="atLeast"/>
        </w:trPr>
        <w:tc>
          <w:tcPr>
            <w:tcW w:w="2595" w:type="dxa"/>
            <w:vAlign w:val="center"/>
          </w:tcPr>
          <w:p>
            <w:pPr>
              <w:adjustRightInd w:val="0"/>
              <w:snapToGrid w:val="0"/>
              <w:spacing w:line="560" w:lineRule="exact"/>
              <w:jc w:val="center"/>
              <w:rPr>
                <w:rFonts w:eastAsia="仿宋_GB2312"/>
                <w:sz w:val="28"/>
                <w:szCs w:val="28"/>
              </w:rPr>
            </w:pPr>
            <w:r>
              <w:rPr>
                <w:rFonts w:eastAsia="仿宋_GB2312"/>
                <w:sz w:val="28"/>
                <w:szCs w:val="28"/>
              </w:rPr>
              <w:t>供水环节</w:t>
            </w:r>
          </w:p>
        </w:tc>
        <w:tc>
          <w:tcPr>
            <w:tcW w:w="6465" w:type="dxa"/>
            <w:vAlign w:val="center"/>
          </w:tcPr>
          <w:p>
            <w:pPr>
              <w:adjustRightInd w:val="0"/>
              <w:snapToGrid w:val="0"/>
              <w:spacing w:line="400" w:lineRule="exact"/>
              <w:rPr>
                <w:rFonts w:eastAsia="仿宋_GB2312"/>
                <w:sz w:val="28"/>
                <w:szCs w:val="28"/>
              </w:rPr>
            </w:pPr>
            <w:r>
              <w:rPr>
                <w:rFonts w:eastAsia="仿宋_GB2312"/>
                <w:sz w:val="28"/>
                <w:szCs w:val="28"/>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tc>
      </w:tr>
      <w:tr>
        <w:trPr>
          <w:trHeight w:val="1420" w:hRule="atLeast"/>
        </w:trPr>
        <w:tc>
          <w:tcPr>
            <w:tcW w:w="2595" w:type="dxa"/>
            <w:vAlign w:val="center"/>
          </w:tcPr>
          <w:p>
            <w:pPr>
              <w:adjustRightInd w:val="0"/>
              <w:snapToGrid w:val="0"/>
              <w:spacing w:line="560" w:lineRule="exact"/>
              <w:jc w:val="center"/>
              <w:rPr>
                <w:rFonts w:eastAsia="仿宋_GB2312"/>
                <w:sz w:val="28"/>
                <w:szCs w:val="28"/>
              </w:rPr>
            </w:pPr>
            <w:r>
              <w:rPr>
                <w:rFonts w:eastAsia="仿宋_GB2312"/>
                <w:sz w:val="28"/>
                <w:szCs w:val="28"/>
              </w:rPr>
              <w:t>供电环节</w:t>
            </w:r>
          </w:p>
        </w:tc>
        <w:tc>
          <w:tcPr>
            <w:tcW w:w="6465" w:type="dxa"/>
            <w:vAlign w:val="center"/>
          </w:tcPr>
          <w:p>
            <w:pPr>
              <w:adjustRightInd w:val="0"/>
              <w:snapToGrid w:val="0"/>
              <w:spacing w:line="400" w:lineRule="exact"/>
              <w:rPr>
                <w:rFonts w:eastAsia="仿宋_GB2312"/>
                <w:sz w:val="28"/>
                <w:szCs w:val="28"/>
              </w:rPr>
            </w:pPr>
            <w:r>
              <w:rPr>
                <w:rFonts w:eastAsia="仿宋_GB2312"/>
                <w:sz w:val="28"/>
                <w:szCs w:val="28"/>
              </w:rPr>
              <w:t>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保护定值整定计算费、带电作业费等类似名目费用。</w:t>
            </w:r>
          </w:p>
        </w:tc>
      </w:tr>
      <w:tr>
        <w:trPr>
          <w:trHeight w:val="1135" w:hRule="atLeast"/>
        </w:trPr>
        <w:tc>
          <w:tcPr>
            <w:tcW w:w="2595" w:type="dxa"/>
            <w:vAlign w:val="center"/>
          </w:tcPr>
          <w:p>
            <w:pPr>
              <w:adjustRightInd w:val="0"/>
              <w:snapToGrid w:val="0"/>
              <w:spacing w:line="560" w:lineRule="exact"/>
              <w:jc w:val="center"/>
              <w:rPr>
                <w:rFonts w:eastAsia="仿宋_GB2312"/>
                <w:sz w:val="28"/>
                <w:szCs w:val="28"/>
              </w:rPr>
            </w:pPr>
            <w:r>
              <w:rPr>
                <w:rFonts w:eastAsia="仿宋_GB2312"/>
                <w:sz w:val="28"/>
                <w:szCs w:val="28"/>
              </w:rPr>
              <w:t>供气环节</w:t>
            </w:r>
          </w:p>
        </w:tc>
        <w:tc>
          <w:tcPr>
            <w:tcW w:w="6465" w:type="dxa"/>
            <w:vAlign w:val="center"/>
          </w:tcPr>
          <w:p>
            <w:pPr>
              <w:adjustRightInd w:val="0"/>
              <w:snapToGrid w:val="0"/>
              <w:spacing w:line="400" w:lineRule="exact"/>
              <w:rPr>
                <w:rFonts w:eastAsia="仿宋_GB2312"/>
                <w:sz w:val="28"/>
                <w:szCs w:val="28"/>
              </w:rPr>
            </w:pPr>
            <w:r>
              <w:rPr>
                <w:rFonts w:eastAsia="仿宋_GB2312"/>
                <w:sz w:val="28"/>
                <w:szCs w:val="28"/>
              </w:rPr>
              <w:t>取消燃气企业应通过配气价格回收成本的收费项目，包括</w:t>
            </w:r>
            <w:r>
              <w:rPr>
                <w:rFonts w:hint="eastAsia" w:eastAsia="仿宋_GB2312"/>
                <w:sz w:val="28"/>
                <w:szCs w:val="28"/>
              </w:rPr>
              <w:t>：</w:t>
            </w:r>
            <w:r>
              <w:rPr>
                <w:rFonts w:eastAsia="仿宋_GB2312"/>
                <w:sz w:val="28"/>
                <w:szCs w:val="28"/>
              </w:rPr>
              <w:t>涉及建筑区划红线外市政</w:t>
            </w:r>
            <w:r>
              <w:rPr>
                <w:rFonts w:hint="eastAsia" w:eastAsia="仿宋_GB2312"/>
                <w:sz w:val="28"/>
                <w:szCs w:val="28"/>
              </w:rPr>
              <w:t>管</w:t>
            </w:r>
            <w:r>
              <w:rPr>
                <w:rFonts w:eastAsia="仿宋_GB2312"/>
                <w:sz w:val="28"/>
                <w:szCs w:val="28"/>
              </w:rPr>
              <w:t>网资产的增压费、增容费等类似名目费用</w:t>
            </w:r>
            <w:r>
              <w:rPr>
                <w:rFonts w:hint="eastAsia" w:eastAsia="仿宋_GB2312"/>
                <w:sz w:val="28"/>
                <w:szCs w:val="28"/>
              </w:rPr>
              <w:t>；</w:t>
            </w:r>
            <w:r>
              <w:rPr>
                <w:rFonts w:eastAsia="仿宋_GB2312"/>
                <w:sz w:val="28"/>
                <w:szCs w:val="28"/>
              </w:rPr>
              <w:t>涉及市政管网至建筑区划红线连接的接驳费、开通费、接线费、切线费、吹扫费、放散费等建设及验收接入环节费用</w:t>
            </w:r>
            <w:r>
              <w:rPr>
                <w:rFonts w:hint="eastAsia" w:eastAsia="仿宋_GB2312"/>
                <w:sz w:val="28"/>
                <w:szCs w:val="28"/>
              </w:rPr>
              <w:t>；</w:t>
            </w:r>
            <w:r>
              <w:rPr>
                <w:rFonts w:eastAsia="仿宋_GB2312"/>
                <w:sz w:val="28"/>
                <w:szCs w:val="28"/>
              </w:rPr>
              <w:t>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tc>
      </w:tr>
      <w:tr>
        <w:trPr>
          <w:trHeight w:val="1780" w:hRule="atLeast"/>
        </w:trPr>
        <w:tc>
          <w:tcPr>
            <w:tcW w:w="2595" w:type="dxa"/>
            <w:vAlign w:val="center"/>
          </w:tcPr>
          <w:p>
            <w:pPr>
              <w:adjustRightInd w:val="0"/>
              <w:snapToGrid w:val="0"/>
              <w:spacing w:line="560" w:lineRule="exact"/>
              <w:jc w:val="center"/>
              <w:rPr>
                <w:rFonts w:eastAsia="仿宋_GB2312"/>
                <w:sz w:val="28"/>
                <w:szCs w:val="28"/>
              </w:rPr>
            </w:pPr>
            <w:r>
              <w:rPr>
                <w:rFonts w:eastAsia="仿宋_GB2312"/>
                <w:sz w:val="28"/>
                <w:szCs w:val="28"/>
              </w:rPr>
              <w:t>供暖环节</w:t>
            </w:r>
          </w:p>
        </w:tc>
        <w:tc>
          <w:tcPr>
            <w:tcW w:w="6465" w:type="dxa"/>
            <w:vAlign w:val="center"/>
          </w:tcPr>
          <w:p>
            <w:pPr>
              <w:adjustRightInd w:val="0"/>
              <w:snapToGrid w:val="0"/>
              <w:spacing w:line="400" w:lineRule="exact"/>
              <w:rPr>
                <w:rFonts w:eastAsia="仿宋_GB2312"/>
                <w:sz w:val="28"/>
                <w:szCs w:val="28"/>
              </w:rPr>
            </w:pPr>
            <w:r>
              <w:rPr>
                <w:rFonts w:eastAsia="仿宋_GB2312"/>
                <w:sz w:val="28"/>
                <w:szCs w:val="28"/>
              </w:rPr>
              <w:t>取消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tc>
      </w:tr>
      <w:tr>
        <w:trPr>
          <w:trHeight w:val="1880" w:hRule="atLeast"/>
        </w:trPr>
        <w:tc>
          <w:tcPr>
            <w:tcW w:w="2595" w:type="dxa"/>
            <w:vAlign w:val="center"/>
          </w:tcPr>
          <w:p>
            <w:pPr>
              <w:adjustRightInd w:val="0"/>
              <w:snapToGrid w:val="0"/>
              <w:spacing w:line="560" w:lineRule="exact"/>
              <w:jc w:val="center"/>
              <w:rPr>
                <w:rFonts w:eastAsia="仿宋_GB2312"/>
                <w:sz w:val="28"/>
                <w:szCs w:val="28"/>
              </w:rPr>
            </w:pPr>
            <w:r>
              <w:rPr>
                <w:rFonts w:eastAsia="仿宋_GB2312"/>
                <w:sz w:val="28"/>
                <w:szCs w:val="28"/>
              </w:rPr>
              <w:t>计量装置检定环节</w:t>
            </w:r>
          </w:p>
        </w:tc>
        <w:tc>
          <w:tcPr>
            <w:tcW w:w="6465" w:type="dxa"/>
            <w:vAlign w:val="center"/>
          </w:tcPr>
          <w:p>
            <w:pPr>
              <w:adjustRightInd w:val="0"/>
              <w:snapToGrid w:val="0"/>
              <w:spacing w:line="400" w:lineRule="exact"/>
              <w:rPr>
                <w:rFonts w:eastAsia="仿宋_GB2312"/>
                <w:sz w:val="28"/>
                <w:szCs w:val="28"/>
              </w:rPr>
            </w:pPr>
            <w:r>
              <w:rPr>
                <w:rFonts w:eastAsia="仿宋_GB2312"/>
                <w:sz w:val="28"/>
                <w:szCs w:val="28"/>
              </w:rPr>
              <w:t>严禁向用户收取水电气热计量装置费用，严禁政府部门、相关机构对供水供电供气供暖计量装置强制检定收费。供水供电供气供热企业或用户自愿委托相关机构对计量装置进行检定的，检定费用由委托方支付，但计量装置经检定确有问题的，由供水供电供气供热企业承担检定费用，并免费为用户更换合格的计量装置。因用户自身原因造成计量装置损坏的，由用户承担更换费用。</w:t>
            </w:r>
          </w:p>
        </w:tc>
      </w:tr>
    </w:tbl>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p>
    <w:p>
      <w:pPr>
        <w:spacing w:line="560" w:lineRule="exact"/>
        <w:ind w:firstLine="4480" w:firstLineChars="1400"/>
        <w:rPr>
          <w:rFonts w:hint="eastAsia"/>
        </w:rPr>
      </w:pPr>
      <w:bookmarkStart w:id="0" w:name="_GoBack"/>
      <w:bookmarkEnd w:id="0"/>
    </w:p>
    <w:p>
      <w:pPr>
        <w:ind w:right="-480" w:rightChars="-150" w:firstLine="185" w:firstLineChars="88"/>
        <w:rPr>
          <w:rFonts w:eastAsia="仿宋_GB2312"/>
          <w:szCs w:val="32"/>
        </w:rPr>
      </w:pPr>
    </w:p>
    <w:sectPr>
      <w:footerReference r:id="rId4" w:type="default"/>
      <w:footerReference r:id="rId5" w:type="even"/>
      <w:pgSz w:w="11906" w:h="16838"/>
      <w:pgMar w:top="2098" w:right="1474" w:bottom="1984" w:left="1474" w:header="851" w:footer="1304" w:gutter="0"/>
      <w:pgNumType w:start="1"/>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auto"/>
    <w:pitch w:val="default"/>
    <w:sig w:usb0="00000000" w:usb1="00000000" w:usb2="00000000" w:usb3="00000000" w:csb0="0004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ind w:left="320" w:lef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pPr>
      <w:pStyle w:val="5"/>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overflowPunct w:val="0"/>
      <w:spacing w:beforeLines="50" w:afterLines="50" w:line="578" w:lineRule="exact"/>
      <w:ind w:firstLine="200" w:firstLineChars="200"/>
      <w:outlineLvl w:val="0"/>
    </w:pPr>
    <w:rPr>
      <w:rFonts w:ascii="黑体" w:eastAsia="黑体"/>
      <w:bCs/>
      <w:kern w:val="44"/>
      <w:szCs w:val="32"/>
    </w:rPr>
  </w:style>
  <w:style w:type="character" w:default="1" w:styleId="8">
    <w:name w:val="Default Paragraph Font"/>
    <w:semiHidden/>
    <w:unhideWhenUsed/>
    <w:uiPriority w:val="1"/>
  </w:style>
  <w:style w:type="paragraph" w:styleId="3">
    <w:name w:val="Body Text First Indent"/>
    <w:basedOn w:val="4"/>
    <w:next w:val="1"/>
    <w:qFormat/>
    <w:uiPriority w:val="0"/>
    <w:pPr>
      <w:tabs>
        <w:tab w:val="left" w:pos="2250"/>
      </w:tabs>
      <w:ind w:firstLine="420" w:firstLineChars="100"/>
    </w:pPr>
  </w:style>
  <w:style w:type="paragraph" w:styleId="4">
    <w:name w:val="Body Text"/>
    <w:basedOn w:val="1"/>
    <w:next w:val="1"/>
    <w:qFormat/>
    <w:uiPriority w:val="0"/>
    <w:rPr>
      <w:b/>
      <w:bCs/>
      <w:sz w:val="48"/>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link w:val="10"/>
    <w:uiPriority w:val="0"/>
    <w:pPr>
      <w:spacing w:after="120" w:line="480" w:lineRule="auto"/>
    </w:pPr>
  </w:style>
  <w:style w:type="character" w:styleId="9">
    <w:name w:val="page number"/>
    <w:basedOn w:val="8"/>
    <w:qFormat/>
    <w:uiPriority w:val="0"/>
    <w:rPr/>
  </w:style>
  <w:style w:type="character" w:customStyle="1" w:styleId="10">
    <w:name w:val="正文文本 2 Char Char"/>
    <w:basedOn w:val="8"/>
    <w:link w:val="7"/>
    <w:uiPriority w:val="0"/>
    <w:rPr>
      <w:kern w:val="2"/>
      <w:sz w:val="32"/>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12</Pages>
  <Words>6116</Words>
  <Characters>231</Characters>
  <Lines>1</Lines>
  <Paragraphs>12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2022-09-06T07:20:00Z</dcterms:created>
  <dc:creator>温</dc:creator>
  <cp:lastModifiedBy>NTKO</cp:lastModifiedBy>
  <cp:lastPrinted>2022-09-02T16:00:00Z</cp:lastPrinted>
  <dcterms:modified xsi:type="dcterms:W3CDTF">2022-09-14T00:36:03Z</dcterms:modified>
  <dc:title>博爱县清理规范城镇供水供电供气供暖行业收费促进行业高质量发展实施方案（征求意见稿）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1DFC2FCCFEC393DBE5B21163DEFC3534</vt:lpwstr>
  </property>
</Properties>
</file>